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FED2D" w14:textId="77777777" w:rsidR="00A314EF" w:rsidRDefault="00994F4F">
      <w:r>
        <w:t>Annexe 1 du marché de nettoyage</w:t>
      </w:r>
    </w:p>
    <w:p w14:paraId="1F3AAB0B" w14:textId="77777777" w:rsidR="00994F4F" w:rsidRDefault="00994F4F"/>
    <w:p w14:paraId="28C09AB7" w14:textId="77777777" w:rsidR="00994F4F" w:rsidRPr="003F196A" w:rsidRDefault="00994F4F" w:rsidP="00994F4F">
      <w:pPr>
        <w:spacing w:before="100" w:after="100"/>
        <w:jc w:val="both"/>
        <w:rPr>
          <w:rFonts w:ascii="Marianne" w:hAnsi="Marianne"/>
          <w:color w:val="0070C0"/>
          <w:sz w:val="16"/>
          <w:szCs w:val="16"/>
        </w:rPr>
      </w:pPr>
      <w:r w:rsidRPr="003F196A">
        <w:rPr>
          <w:rFonts w:ascii="Marianne" w:eastAsia="Times New Roman" w:hAnsi="Marianne"/>
          <w:b/>
          <w:bCs/>
          <w:color w:val="0070C0"/>
          <w:sz w:val="16"/>
          <w:szCs w:val="16"/>
          <w:lang w:eastAsia="fr-FR"/>
        </w:rPr>
        <w:t>1. Objet de la clause</w:t>
      </w:r>
    </w:p>
    <w:p w14:paraId="7FFC3086" w14:textId="77777777" w:rsidR="00994F4F" w:rsidRPr="003F196A" w:rsidRDefault="00994F4F" w:rsidP="00994F4F">
      <w:pPr>
        <w:spacing w:before="100" w:after="100"/>
        <w:jc w:val="both"/>
        <w:rPr>
          <w:rFonts w:ascii="Marianne" w:eastAsia="Times New Roman" w:hAnsi="Marianne"/>
          <w:color w:val="0070C0"/>
          <w:sz w:val="16"/>
          <w:szCs w:val="16"/>
          <w:lang w:eastAsia="fr-FR"/>
        </w:rPr>
      </w:pPr>
      <w:r w:rsidRPr="003F196A">
        <w:rPr>
          <w:rFonts w:ascii="Marianne" w:eastAsia="Times New Roman" w:hAnsi="Marianne"/>
          <w:color w:val="0070C0"/>
          <w:sz w:val="16"/>
          <w:szCs w:val="16"/>
          <w:lang w:eastAsia="fr-FR"/>
        </w:rPr>
        <w:t>Le présent article a pour objet de définir les conditions de reprise du personnel en cas de changement de titulaire du marché de nettoyage des locaux.</w:t>
      </w:r>
    </w:p>
    <w:p w14:paraId="1719DD6E" w14:textId="32EDFAE8" w:rsidR="00994F4F" w:rsidRPr="003F196A" w:rsidRDefault="00994F4F" w:rsidP="00994F4F">
      <w:pPr>
        <w:spacing w:before="100" w:after="100"/>
        <w:jc w:val="both"/>
        <w:rPr>
          <w:rFonts w:ascii="Marianne" w:hAnsi="Marianne"/>
          <w:color w:val="0070C0"/>
          <w:sz w:val="16"/>
          <w:szCs w:val="16"/>
        </w:rPr>
      </w:pPr>
      <w:r>
        <w:rPr>
          <w:rFonts w:ascii="Marianne" w:eastAsia="Times New Roman" w:hAnsi="Marianne"/>
          <w:b/>
          <w:bCs/>
          <w:color w:val="0070C0"/>
          <w:sz w:val="16"/>
          <w:szCs w:val="16"/>
          <w:lang w:eastAsia="fr-FR"/>
        </w:rPr>
        <w:t>2</w:t>
      </w:r>
      <w:r w:rsidRPr="003F196A">
        <w:rPr>
          <w:rFonts w:ascii="Marianne" w:eastAsia="Times New Roman" w:hAnsi="Marianne"/>
          <w:b/>
          <w:bCs/>
          <w:color w:val="0070C0"/>
          <w:sz w:val="16"/>
          <w:szCs w:val="16"/>
          <w:lang w:eastAsia="fr-FR"/>
        </w:rPr>
        <w:t>. Obligations du titulaire entrant</w:t>
      </w:r>
    </w:p>
    <w:p w14:paraId="56507D28" w14:textId="015968F0" w:rsidR="00994F4F" w:rsidRPr="003F196A" w:rsidRDefault="00994F4F" w:rsidP="00994F4F">
      <w:pPr>
        <w:spacing w:before="100" w:after="100"/>
        <w:jc w:val="both"/>
        <w:rPr>
          <w:rFonts w:ascii="Marianne" w:eastAsia="Times New Roman" w:hAnsi="Marianne"/>
          <w:color w:val="0070C0"/>
          <w:sz w:val="16"/>
          <w:szCs w:val="16"/>
          <w:lang w:eastAsia="fr-FR"/>
        </w:rPr>
      </w:pPr>
      <w:r w:rsidRPr="003F196A">
        <w:rPr>
          <w:rFonts w:ascii="Marianne" w:eastAsia="Times New Roman" w:hAnsi="Marianne"/>
          <w:color w:val="0070C0"/>
          <w:sz w:val="16"/>
          <w:szCs w:val="16"/>
          <w:lang w:eastAsia="fr-FR"/>
        </w:rPr>
        <w:t>Le titulaire entrant prend en considération pour l’établissement de son offre, son obligation de reprise du personnel sur le poste de nettoyage des locaux. Les éléments salariaux donnés par le titulaire en place sont joints en annexe au présent règlement de la consultation</w:t>
      </w:r>
      <w:r>
        <w:rPr>
          <w:rFonts w:ascii="Marianne" w:eastAsia="Times New Roman" w:hAnsi="Marianne"/>
          <w:color w:val="0070C0"/>
          <w:sz w:val="16"/>
          <w:szCs w:val="16"/>
          <w:lang w:eastAsia="fr-FR"/>
        </w:rPr>
        <w:t>.</w:t>
      </w:r>
    </w:p>
    <w:p w14:paraId="68DE4A36" w14:textId="6025CA56" w:rsidR="00994F4F" w:rsidRPr="003F196A" w:rsidRDefault="00994F4F" w:rsidP="00994F4F">
      <w:pPr>
        <w:spacing w:before="100" w:after="100"/>
        <w:jc w:val="both"/>
        <w:rPr>
          <w:rFonts w:ascii="Marianne" w:eastAsia="Times New Roman" w:hAnsi="Marianne"/>
          <w:color w:val="0070C0"/>
          <w:sz w:val="16"/>
          <w:szCs w:val="16"/>
          <w:lang w:eastAsia="fr-FR"/>
        </w:rPr>
      </w:pPr>
      <w:r w:rsidRPr="003F196A">
        <w:rPr>
          <w:rFonts w:ascii="Marianne" w:eastAsia="Times New Roman" w:hAnsi="Marianne"/>
          <w:color w:val="0070C0"/>
          <w:sz w:val="16"/>
          <w:szCs w:val="16"/>
          <w:lang w:eastAsia="fr-FR"/>
        </w:rPr>
        <w:t>Les candidats sont informés de la liste des personnels éligibles à l’accord de branche applicable et ceci pour leur permettre de formuler leurs offres en connaissance de cause et de prendre en compte ces éléments dans la formation de leurs prix dans le respect du principe d’égalité qui leur est dû. Ces informations ont été transmises sous leur responsabilité par les entreprises actuellement titulaires</w:t>
      </w:r>
      <w:r>
        <w:rPr>
          <w:rFonts w:ascii="Marianne" w:eastAsia="Times New Roman" w:hAnsi="Marianne"/>
          <w:color w:val="0070C0"/>
          <w:sz w:val="16"/>
          <w:szCs w:val="16"/>
          <w:lang w:eastAsia="fr-FR"/>
        </w:rPr>
        <w:t xml:space="preserve">. </w:t>
      </w:r>
      <w:r w:rsidRPr="003F196A">
        <w:rPr>
          <w:rFonts w:ascii="Marianne" w:eastAsia="Times New Roman" w:hAnsi="Marianne"/>
          <w:color w:val="0070C0"/>
          <w:sz w:val="16"/>
          <w:szCs w:val="16"/>
          <w:lang w:eastAsia="fr-FR"/>
        </w:rPr>
        <w:t>De plus, ces informations ne préjugent en rien de la transférabilité réelle des personnels au moment de la date d’effet du marché étant donné que le titulaire conserve la faculté de contester les prétentions au transfert des personnels ou les salariés transférables peuvent conserver la liberté de demander ou non le transfert de leur contrat de travail. Le droit à la continuité du contrat de travail ne peut être que présumé restant soumis à l’appréciation des juges.</w:t>
      </w:r>
    </w:p>
    <w:p w14:paraId="32D1DBED" w14:textId="5F1A1C3D" w:rsidR="00994F4F" w:rsidRPr="003F196A" w:rsidRDefault="00994F4F" w:rsidP="00994F4F">
      <w:pPr>
        <w:spacing w:before="100" w:after="100"/>
        <w:jc w:val="both"/>
        <w:rPr>
          <w:rFonts w:ascii="Marianne" w:hAnsi="Marianne"/>
          <w:color w:val="0070C0"/>
          <w:sz w:val="16"/>
          <w:szCs w:val="16"/>
        </w:rPr>
      </w:pPr>
      <w:r>
        <w:rPr>
          <w:rFonts w:ascii="Marianne" w:eastAsia="Times New Roman" w:hAnsi="Marianne"/>
          <w:b/>
          <w:bCs/>
          <w:color w:val="0070C0"/>
          <w:sz w:val="16"/>
          <w:szCs w:val="16"/>
          <w:lang w:eastAsia="fr-FR"/>
        </w:rPr>
        <w:t>3</w:t>
      </w:r>
      <w:r w:rsidRPr="003F196A">
        <w:rPr>
          <w:rFonts w:ascii="Marianne" w:eastAsia="Times New Roman" w:hAnsi="Marianne"/>
          <w:b/>
          <w:bCs/>
          <w:color w:val="0070C0"/>
          <w:sz w:val="16"/>
          <w:szCs w:val="16"/>
          <w:lang w:eastAsia="fr-FR"/>
        </w:rPr>
        <w:t>. Conditions de transfert des contrats de travail</w:t>
      </w:r>
    </w:p>
    <w:p w14:paraId="37EED290" w14:textId="00243BDB" w:rsidR="00994F4F" w:rsidRPr="003F196A" w:rsidRDefault="00994F4F" w:rsidP="00994F4F">
      <w:pPr>
        <w:spacing w:before="100" w:after="100"/>
        <w:jc w:val="both"/>
        <w:rPr>
          <w:rFonts w:ascii="Marianne" w:eastAsia="Times New Roman" w:hAnsi="Marianne"/>
          <w:color w:val="0070C0"/>
          <w:sz w:val="16"/>
          <w:szCs w:val="16"/>
          <w:lang w:eastAsia="fr-FR"/>
        </w:rPr>
      </w:pPr>
      <w:r w:rsidRPr="003F196A">
        <w:rPr>
          <w:rFonts w:ascii="Marianne" w:eastAsia="Times New Roman" w:hAnsi="Marianne"/>
          <w:color w:val="0070C0"/>
          <w:sz w:val="16"/>
          <w:szCs w:val="16"/>
          <w:lang w:eastAsia="fr-FR"/>
        </w:rPr>
        <w:t>Le transfert des contrats de travail prévu par un accord collectif ne s'opère toutefois pas de plein droit : le changement d'employeur étant subordonné au respect des conditions conventionnelles prévues par l'accord. En outre, en cas d'application de dispositions conventionnelles prévoyant et organisant le transfert des contrats de travail hors application de l'article L. 1224-1 du code du travail, l'accord exprès du salarié est nécessaire au changement d'employeur.</w:t>
      </w:r>
    </w:p>
    <w:p w14:paraId="17D514EB" w14:textId="1A31F328" w:rsidR="00994F4F" w:rsidRPr="003F196A" w:rsidRDefault="00994F4F" w:rsidP="00994F4F">
      <w:pPr>
        <w:spacing w:before="100" w:after="100"/>
        <w:rPr>
          <w:rFonts w:ascii="Marianne" w:hAnsi="Marianne"/>
          <w:color w:val="0070C0"/>
          <w:sz w:val="16"/>
          <w:szCs w:val="16"/>
        </w:rPr>
      </w:pPr>
      <w:r>
        <w:rPr>
          <w:rFonts w:ascii="Marianne" w:eastAsia="Times New Roman" w:hAnsi="Marianne"/>
          <w:b/>
          <w:bCs/>
          <w:color w:val="0070C0"/>
          <w:sz w:val="16"/>
          <w:szCs w:val="16"/>
          <w:lang w:eastAsia="fr-FR"/>
        </w:rPr>
        <w:t>4</w:t>
      </w:r>
      <w:r w:rsidRPr="003F196A">
        <w:rPr>
          <w:rFonts w:ascii="Marianne" w:eastAsia="Times New Roman" w:hAnsi="Marianne"/>
          <w:b/>
          <w:bCs/>
          <w:color w:val="0070C0"/>
          <w:sz w:val="16"/>
          <w:szCs w:val="16"/>
          <w:lang w:eastAsia="fr-FR"/>
        </w:rPr>
        <w:t>. Dispositions finales</w:t>
      </w:r>
    </w:p>
    <w:p w14:paraId="64902CBF" w14:textId="77777777" w:rsidR="00994F4F" w:rsidRPr="003F196A" w:rsidRDefault="00994F4F" w:rsidP="00994F4F">
      <w:pPr>
        <w:rPr>
          <w:rFonts w:ascii="Marianne" w:hAnsi="Marianne"/>
          <w:color w:val="0070C0"/>
          <w:sz w:val="16"/>
          <w:szCs w:val="16"/>
        </w:rPr>
      </w:pPr>
      <w:r w:rsidRPr="003F196A">
        <w:rPr>
          <w:rFonts w:ascii="Marianne" w:eastAsia="Times New Roman" w:hAnsi="Marianne"/>
          <w:color w:val="0070C0"/>
          <w:sz w:val="16"/>
          <w:szCs w:val="16"/>
          <w:lang w:eastAsia="fr-FR"/>
        </w:rPr>
        <w:t>Le titulaire entrant s’engage à respecter les dispositions du Code du travail et de la Convention collective applicable aux prestations objet du présent marché. Les titulaires entrant et sortant s’engagent à s’y conformer</w:t>
      </w:r>
    </w:p>
    <w:p w14:paraId="0A119021" w14:textId="77777777" w:rsidR="00994F4F" w:rsidRDefault="00994F4F"/>
    <w:p w14:paraId="37CF79BC" w14:textId="44EA75DD" w:rsidR="00DB338D" w:rsidRPr="00DB338D" w:rsidRDefault="00DB338D">
      <w:pPr>
        <w:rPr>
          <w:rFonts w:ascii="Marianne" w:hAnsi="Marianne"/>
          <w:sz w:val="16"/>
          <w:szCs w:val="16"/>
        </w:rPr>
      </w:pPr>
      <w:r w:rsidRPr="00DB338D">
        <w:rPr>
          <w:rFonts w:ascii="Marianne" w:hAnsi="Marianne"/>
          <w:sz w:val="16"/>
          <w:szCs w:val="16"/>
        </w:rPr>
        <w:t>Tableau de correspondance entre les anciens et les nouveaux lots</w:t>
      </w:r>
    </w:p>
    <w:tbl>
      <w:tblPr>
        <w:tblW w:w="8760" w:type="dxa"/>
        <w:tblCellMar>
          <w:left w:w="70" w:type="dxa"/>
          <w:right w:w="70" w:type="dxa"/>
        </w:tblCellMar>
        <w:tblLook w:val="04A0" w:firstRow="1" w:lastRow="0" w:firstColumn="1" w:lastColumn="0" w:noHBand="0" w:noVBand="1"/>
      </w:tblPr>
      <w:tblGrid>
        <w:gridCol w:w="1200"/>
        <w:gridCol w:w="1200"/>
        <w:gridCol w:w="6360"/>
      </w:tblGrid>
      <w:tr w:rsidR="00DB338D" w:rsidRPr="00DB338D" w14:paraId="05BE559D" w14:textId="77777777" w:rsidTr="00DB338D">
        <w:trPr>
          <w:trHeight w:val="840"/>
        </w:trPr>
        <w:tc>
          <w:tcPr>
            <w:tcW w:w="1200" w:type="dxa"/>
            <w:tcBorders>
              <w:top w:val="single" w:sz="4" w:space="0" w:color="auto"/>
              <w:left w:val="single" w:sz="4" w:space="0" w:color="auto"/>
              <w:bottom w:val="single" w:sz="4" w:space="0" w:color="auto"/>
              <w:right w:val="single" w:sz="4" w:space="0" w:color="auto"/>
            </w:tcBorders>
            <w:shd w:val="clear" w:color="666699" w:fill="305496"/>
            <w:vAlign w:val="center"/>
            <w:hideMark/>
          </w:tcPr>
          <w:p w14:paraId="2F403040" w14:textId="77777777" w:rsidR="00DB338D" w:rsidRPr="00DB338D" w:rsidRDefault="00DB338D" w:rsidP="00DB338D">
            <w:pPr>
              <w:spacing w:after="0" w:line="240" w:lineRule="auto"/>
              <w:jc w:val="center"/>
              <w:rPr>
                <w:rFonts w:ascii="Marianne" w:eastAsia="Times New Roman" w:hAnsi="Marianne" w:cs="Calibri"/>
                <w:b/>
                <w:bCs/>
                <w:color w:val="FFFFFF"/>
                <w:kern w:val="0"/>
                <w:sz w:val="16"/>
                <w:szCs w:val="16"/>
                <w:lang w:eastAsia="fr-FR"/>
                <w14:ligatures w14:val="none"/>
              </w:rPr>
            </w:pPr>
            <w:r w:rsidRPr="00DB338D">
              <w:rPr>
                <w:rFonts w:ascii="Marianne" w:eastAsia="Times New Roman" w:hAnsi="Marianne" w:cs="Calibri"/>
                <w:b/>
                <w:bCs/>
                <w:color w:val="FFFFFF"/>
                <w:kern w:val="0"/>
                <w:sz w:val="16"/>
                <w:szCs w:val="16"/>
                <w:lang w:eastAsia="fr-FR"/>
                <w14:ligatures w14:val="none"/>
              </w:rPr>
              <w:t>Lots</w:t>
            </w:r>
          </w:p>
        </w:tc>
        <w:tc>
          <w:tcPr>
            <w:tcW w:w="1200" w:type="dxa"/>
            <w:tcBorders>
              <w:top w:val="single" w:sz="4" w:space="0" w:color="auto"/>
              <w:left w:val="nil"/>
              <w:bottom w:val="single" w:sz="4" w:space="0" w:color="auto"/>
              <w:right w:val="single" w:sz="4" w:space="0" w:color="auto"/>
            </w:tcBorders>
            <w:shd w:val="clear" w:color="666699" w:fill="305496"/>
            <w:vAlign w:val="center"/>
            <w:hideMark/>
          </w:tcPr>
          <w:p w14:paraId="4C87CECE" w14:textId="77777777" w:rsidR="00DB338D" w:rsidRPr="00DB338D" w:rsidRDefault="00DB338D" w:rsidP="00DB338D">
            <w:pPr>
              <w:spacing w:after="0" w:line="240" w:lineRule="auto"/>
              <w:jc w:val="center"/>
              <w:rPr>
                <w:rFonts w:ascii="Marianne" w:eastAsia="Times New Roman" w:hAnsi="Marianne" w:cs="Calibri"/>
                <w:b/>
                <w:bCs/>
                <w:color w:val="FFFFFF"/>
                <w:kern w:val="0"/>
                <w:sz w:val="16"/>
                <w:szCs w:val="16"/>
                <w:lang w:eastAsia="fr-FR"/>
                <w14:ligatures w14:val="none"/>
              </w:rPr>
            </w:pPr>
            <w:r w:rsidRPr="00DB338D">
              <w:rPr>
                <w:rFonts w:ascii="Marianne" w:eastAsia="Times New Roman" w:hAnsi="Marianne" w:cs="Calibri"/>
                <w:b/>
                <w:bCs/>
                <w:color w:val="FFFFFF"/>
                <w:kern w:val="0"/>
                <w:sz w:val="16"/>
                <w:szCs w:val="16"/>
                <w:lang w:eastAsia="fr-FR"/>
                <w14:ligatures w14:val="none"/>
              </w:rPr>
              <w:t>Titulaire</w:t>
            </w:r>
          </w:p>
        </w:tc>
        <w:tc>
          <w:tcPr>
            <w:tcW w:w="6360" w:type="dxa"/>
            <w:tcBorders>
              <w:top w:val="single" w:sz="4" w:space="0" w:color="auto"/>
              <w:left w:val="nil"/>
              <w:bottom w:val="single" w:sz="4" w:space="0" w:color="auto"/>
              <w:right w:val="single" w:sz="4" w:space="0" w:color="auto"/>
            </w:tcBorders>
            <w:shd w:val="clear" w:color="666699" w:fill="305496"/>
            <w:vAlign w:val="center"/>
            <w:hideMark/>
          </w:tcPr>
          <w:p w14:paraId="1115A096" w14:textId="77777777" w:rsidR="00DB338D" w:rsidRPr="00DB338D" w:rsidRDefault="00DB338D" w:rsidP="00DB338D">
            <w:pPr>
              <w:spacing w:after="0" w:line="240" w:lineRule="auto"/>
              <w:jc w:val="center"/>
              <w:rPr>
                <w:rFonts w:ascii="Marianne" w:eastAsia="Times New Roman" w:hAnsi="Marianne" w:cs="Calibri"/>
                <w:b/>
                <w:bCs/>
                <w:color w:val="FFFFFF"/>
                <w:kern w:val="0"/>
                <w:sz w:val="16"/>
                <w:szCs w:val="16"/>
                <w:lang w:eastAsia="fr-FR"/>
                <w14:ligatures w14:val="none"/>
              </w:rPr>
            </w:pPr>
            <w:r w:rsidRPr="00DB338D">
              <w:rPr>
                <w:rFonts w:ascii="Marianne" w:eastAsia="Times New Roman" w:hAnsi="Marianne" w:cs="Calibri"/>
                <w:b/>
                <w:bCs/>
                <w:color w:val="FFFFFF"/>
                <w:kern w:val="0"/>
                <w:sz w:val="16"/>
                <w:szCs w:val="16"/>
                <w:lang w:eastAsia="fr-FR"/>
                <w14:ligatures w14:val="none"/>
              </w:rPr>
              <w:t>nouveaux numéros de lot</w:t>
            </w:r>
          </w:p>
        </w:tc>
      </w:tr>
      <w:tr w:rsidR="00DB338D" w:rsidRPr="00DB338D" w14:paraId="01296DAE" w14:textId="77777777" w:rsidTr="00DB338D">
        <w:trPr>
          <w:trHeight w:val="5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1E72792"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1</w:t>
            </w:r>
          </w:p>
        </w:tc>
        <w:tc>
          <w:tcPr>
            <w:tcW w:w="1200" w:type="dxa"/>
            <w:tcBorders>
              <w:top w:val="nil"/>
              <w:left w:val="nil"/>
              <w:bottom w:val="single" w:sz="4" w:space="0" w:color="auto"/>
              <w:right w:val="single" w:sz="4" w:space="0" w:color="auto"/>
            </w:tcBorders>
            <w:shd w:val="clear" w:color="auto" w:fill="auto"/>
            <w:noWrap/>
            <w:vAlign w:val="center"/>
            <w:hideMark/>
          </w:tcPr>
          <w:p w14:paraId="4BE60D71"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proofErr w:type="spellStart"/>
            <w:r w:rsidRPr="00DB338D">
              <w:rPr>
                <w:rFonts w:ascii="Marianne" w:eastAsia="Times New Roman" w:hAnsi="Marianne" w:cs="Calibri"/>
                <w:kern w:val="0"/>
                <w:sz w:val="16"/>
                <w:szCs w:val="16"/>
                <w:lang w:eastAsia="fr-FR"/>
                <w14:ligatures w14:val="none"/>
              </w:rPr>
              <w:t>Challancin</w:t>
            </w:r>
            <w:proofErr w:type="spellEnd"/>
          </w:p>
        </w:tc>
        <w:tc>
          <w:tcPr>
            <w:tcW w:w="6360" w:type="dxa"/>
            <w:tcBorders>
              <w:top w:val="nil"/>
              <w:left w:val="nil"/>
              <w:bottom w:val="single" w:sz="4" w:space="0" w:color="auto"/>
              <w:right w:val="single" w:sz="4" w:space="0" w:color="auto"/>
            </w:tcBorders>
            <w:shd w:val="clear" w:color="auto" w:fill="auto"/>
            <w:noWrap/>
            <w:vAlign w:val="center"/>
            <w:hideMark/>
          </w:tcPr>
          <w:p w14:paraId="539E7633"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1 (pas de changement)</w:t>
            </w:r>
          </w:p>
        </w:tc>
      </w:tr>
      <w:tr w:rsidR="00DB338D" w:rsidRPr="00DB338D" w14:paraId="3EDE1BD4" w14:textId="77777777" w:rsidTr="00DB338D">
        <w:trPr>
          <w:trHeight w:val="5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D6155F3"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2</w:t>
            </w:r>
          </w:p>
        </w:tc>
        <w:tc>
          <w:tcPr>
            <w:tcW w:w="1200" w:type="dxa"/>
            <w:tcBorders>
              <w:top w:val="nil"/>
              <w:left w:val="nil"/>
              <w:bottom w:val="single" w:sz="4" w:space="0" w:color="auto"/>
              <w:right w:val="single" w:sz="4" w:space="0" w:color="auto"/>
            </w:tcBorders>
            <w:shd w:val="clear" w:color="auto" w:fill="auto"/>
            <w:noWrap/>
            <w:vAlign w:val="center"/>
            <w:hideMark/>
          </w:tcPr>
          <w:p w14:paraId="0A2B056D"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proofErr w:type="spellStart"/>
            <w:r w:rsidRPr="00DB338D">
              <w:rPr>
                <w:rFonts w:ascii="Marianne" w:eastAsia="Times New Roman" w:hAnsi="Marianne" w:cs="Calibri"/>
                <w:kern w:val="0"/>
                <w:sz w:val="16"/>
                <w:szCs w:val="16"/>
                <w:lang w:eastAsia="fr-FR"/>
                <w14:ligatures w14:val="none"/>
              </w:rPr>
              <w:t>Challancin</w:t>
            </w:r>
            <w:proofErr w:type="spellEnd"/>
          </w:p>
        </w:tc>
        <w:tc>
          <w:tcPr>
            <w:tcW w:w="6360" w:type="dxa"/>
            <w:tcBorders>
              <w:top w:val="nil"/>
              <w:left w:val="nil"/>
              <w:bottom w:val="single" w:sz="4" w:space="0" w:color="auto"/>
              <w:right w:val="single" w:sz="4" w:space="0" w:color="auto"/>
            </w:tcBorders>
            <w:shd w:val="clear" w:color="auto" w:fill="auto"/>
            <w:noWrap/>
            <w:vAlign w:val="center"/>
            <w:hideMark/>
          </w:tcPr>
          <w:p w14:paraId="2F7BE3C7"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lots 2 et 3 (ex lot 2 scindé en 2 lots Est/Ouest de la ville de Nantes)</w:t>
            </w:r>
          </w:p>
        </w:tc>
      </w:tr>
      <w:tr w:rsidR="00DB338D" w:rsidRPr="00DB338D" w14:paraId="29F2D9ED" w14:textId="77777777" w:rsidTr="00DB338D">
        <w:trPr>
          <w:trHeight w:val="5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9DE5DA1"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3</w:t>
            </w:r>
          </w:p>
        </w:tc>
        <w:tc>
          <w:tcPr>
            <w:tcW w:w="1200" w:type="dxa"/>
            <w:tcBorders>
              <w:top w:val="nil"/>
              <w:left w:val="nil"/>
              <w:bottom w:val="single" w:sz="4" w:space="0" w:color="auto"/>
              <w:right w:val="single" w:sz="4" w:space="0" w:color="auto"/>
            </w:tcBorders>
            <w:shd w:val="clear" w:color="auto" w:fill="auto"/>
            <w:noWrap/>
            <w:vAlign w:val="center"/>
            <w:hideMark/>
          </w:tcPr>
          <w:p w14:paraId="12BAE845"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Onet</w:t>
            </w:r>
          </w:p>
        </w:tc>
        <w:tc>
          <w:tcPr>
            <w:tcW w:w="6360" w:type="dxa"/>
            <w:tcBorders>
              <w:top w:val="nil"/>
              <w:left w:val="nil"/>
              <w:bottom w:val="single" w:sz="4" w:space="0" w:color="auto"/>
              <w:right w:val="single" w:sz="4" w:space="0" w:color="auto"/>
            </w:tcBorders>
            <w:shd w:val="clear" w:color="auto" w:fill="auto"/>
            <w:noWrap/>
            <w:vAlign w:val="center"/>
            <w:hideMark/>
          </w:tcPr>
          <w:p w14:paraId="276D5F6E"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4 (ex lot 3)</w:t>
            </w:r>
          </w:p>
        </w:tc>
      </w:tr>
      <w:tr w:rsidR="00DB338D" w:rsidRPr="00DB338D" w14:paraId="305E6799" w14:textId="77777777" w:rsidTr="00DB338D">
        <w:trPr>
          <w:trHeight w:val="125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49F2034"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4</w:t>
            </w:r>
          </w:p>
        </w:tc>
        <w:tc>
          <w:tcPr>
            <w:tcW w:w="1200" w:type="dxa"/>
            <w:tcBorders>
              <w:top w:val="nil"/>
              <w:left w:val="nil"/>
              <w:bottom w:val="single" w:sz="4" w:space="0" w:color="auto"/>
              <w:right w:val="single" w:sz="4" w:space="0" w:color="auto"/>
            </w:tcBorders>
            <w:shd w:val="clear" w:color="auto" w:fill="auto"/>
            <w:noWrap/>
            <w:vAlign w:val="center"/>
            <w:hideMark/>
          </w:tcPr>
          <w:p w14:paraId="47A35331"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Samsic</w:t>
            </w:r>
          </w:p>
        </w:tc>
        <w:tc>
          <w:tcPr>
            <w:tcW w:w="6360" w:type="dxa"/>
            <w:tcBorders>
              <w:top w:val="nil"/>
              <w:left w:val="nil"/>
              <w:bottom w:val="single" w:sz="4" w:space="0" w:color="auto"/>
              <w:right w:val="single" w:sz="4" w:space="0" w:color="auto"/>
            </w:tcBorders>
            <w:shd w:val="clear" w:color="auto" w:fill="auto"/>
            <w:noWrap/>
            <w:vAlign w:val="center"/>
            <w:hideMark/>
          </w:tcPr>
          <w:p w14:paraId="5FBB52A5"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5 (ex lot 4 et Pornic Savenay mis dans le lot 6)</w:t>
            </w:r>
          </w:p>
        </w:tc>
      </w:tr>
      <w:tr w:rsidR="00DB338D" w:rsidRPr="00DB338D" w14:paraId="56688C51" w14:textId="77777777" w:rsidTr="00DB338D">
        <w:trPr>
          <w:trHeight w:val="10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0B92263"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5</w:t>
            </w:r>
          </w:p>
        </w:tc>
        <w:tc>
          <w:tcPr>
            <w:tcW w:w="1200" w:type="dxa"/>
            <w:tcBorders>
              <w:top w:val="nil"/>
              <w:left w:val="nil"/>
              <w:bottom w:val="single" w:sz="4" w:space="0" w:color="auto"/>
              <w:right w:val="single" w:sz="4" w:space="0" w:color="auto"/>
            </w:tcBorders>
            <w:shd w:val="clear" w:color="auto" w:fill="auto"/>
            <w:noWrap/>
            <w:vAlign w:val="center"/>
            <w:hideMark/>
          </w:tcPr>
          <w:p w14:paraId="49690695"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proofErr w:type="spellStart"/>
            <w:r w:rsidRPr="00DB338D">
              <w:rPr>
                <w:rFonts w:ascii="Marianne" w:eastAsia="Times New Roman" w:hAnsi="Marianne" w:cs="Calibri"/>
                <w:kern w:val="0"/>
                <w:sz w:val="16"/>
                <w:szCs w:val="16"/>
                <w:lang w:eastAsia="fr-FR"/>
                <w14:ligatures w14:val="none"/>
              </w:rPr>
              <w:t>Challancin</w:t>
            </w:r>
            <w:proofErr w:type="spellEnd"/>
          </w:p>
        </w:tc>
        <w:tc>
          <w:tcPr>
            <w:tcW w:w="6360" w:type="dxa"/>
            <w:tcBorders>
              <w:top w:val="nil"/>
              <w:left w:val="nil"/>
              <w:bottom w:val="single" w:sz="4" w:space="0" w:color="auto"/>
              <w:right w:val="single" w:sz="4" w:space="0" w:color="auto"/>
            </w:tcBorders>
            <w:shd w:val="clear" w:color="auto" w:fill="auto"/>
            <w:noWrap/>
            <w:vAlign w:val="center"/>
            <w:hideMark/>
          </w:tcPr>
          <w:p w14:paraId="5D2E5B11"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6 (ex lot 5)</w:t>
            </w:r>
          </w:p>
        </w:tc>
      </w:tr>
      <w:tr w:rsidR="00DB338D" w:rsidRPr="00DB338D" w14:paraId="429616B9" w14:textId="77777777" w:rsidTr="00DB338D">
        <w:trPr>
          <w:trHeight w:val="125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3DBE3E9"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lastRenderedPageBreak/>
              <w:t>LOT 6</w:t>
            </w:r>
          </w:p>
        </w:tc>
        <w:tc>
          <w:tcPr>
            <w:tcW w:w="1200" w:type="dxa"/>
            <w:tcBorders>
              <w:top w:val="nil"/>
              <w:left w:val="nil"/>
              <w:bottom w:val="single" w:sz="4" w:space="0" w:color="auto"/>
              <w:right w:val="single" w:sz="4" w:space="0" w:color="auto"/>
            </w:tcBorders>
            <w:shd w:val="clear" w:color="auto" w:fill="auto"/>
            <w:noWrap/>
            <w:vAlign w:val="center"/>
            <w:hideMark/>
          </w:tcPr>
          <w:p w14:paraId="25C30503"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proofErr w:type="spellStart"/>
            <w:r w:rsidRPr="00DB338D">
              <w:rPr>
                <w:rFonts w:ascii="Marianne" w:eastAsia="Times New Roman" w:hAnsi="Marianne" w:cs="Calibri"/>
                <w:kern w:val="0"/>
                <w:sz w:val="16"/>
                <w:szCs w:val="16"/>
                <w:lang w:eastAsia="fr-FR"/>
                <w14:ligatures w14:val="none"/>
              </w:rPr>
              <w:t>Challancin</w:t>
            </w:r>
            <w:proofErr w:type="spellEnd"/>
          </w:p>
        </w:tc>
        <w:tc>
          <w:tcPr>
            <w:tcW w:w="6360" w:type="dxa"/>
            <w:tcBorders>
              <w:top w:val="nil"/>
              <w:left w:val="nil"/>
              <w:bottom w:val="single" w:sz="4" w:space="0" w:color="auto"/>
              <w:right w:val="single" w:sz="4" w:space="0" w:color="auto"/>
            </w:tcBorders>
            <w:shd w:val="clear" w:color="auto" w:fill="auto"/>
            <w:noWrap/>
            <w:vAlign w:val="center"/>
            <w:hideMark/>
          </w:tcPr>
          <w:p w14:paraId="45A413BD"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7 (ex lot 6)</w:t>
            </w:r>
          </w:p>
        </w:tc>
      </w:tr>
      <w:tr w:rsidR="00DB338D" w:rsidRPr="00DB338D" w14:paraId="2BB6E724" w14:textId="77777777" w:rsidTr="00DB338D">
        <w:trPr>
          <w:trHeight w:val="75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2F2819D"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7</w:t>
            </w:r>
          </w:p>
        </w:tc>
        <w:tc>
          <w:tcPr>
            <w:tcW w:w="1200" w:type="dxa"/>
            <w:tcBorders>
              <w:top w:val="nil"/>
              <w:left w:val="nil"/>
              <w:bottom w:val="single" w:sz="4" w:space="0" w:color="auto"/>
              <w:right w:val="single" w:sz="4" w:space="0" w:color="auto"/>
            </w:tcBorders>
            <w:shd w:val="clear" w:color="auto" w:fill="auto"/>
            <w:noWrap/>
            <w:vAlign w:val="center"/>
            <w:hideMark/>
          </w:tcPr>
          <w:p w14:paraId="7C6325AB"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Samsic</w:t>
            </w:r>
          </w:p>
        </w:tc>
        <w:tc>
          <w:tcPr>
            <w:tcW w:w="6360" w:type="dxa"/>
            <w:tcBorders>
              <w:top w:val="nil"/>
              <w:left w:val="nil"/>
              <w:bottom w:val="single" w:sz="4" w:space="0" w:color="auto"/>
              <w:right w:val="single" w:sz="4" w:space="0" w:color="auto"/>
            </w:tcBorders>
            <w:shd w:val="clear" w:color="auto" w:fill="auto"/>
            <w:noWrap/>
            <w:vAlign w:val="center"/>
            <w:hideMark/>
          </w:tcPr>
          <w:p w14:paraId="02A915D3"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8 (ex lot 7)</w:t>
            </w:r>
          </w:p>
        </w:tc>
      </w:tr>
      <w:tr w:rsidR="00DB338D" w:rsidRPr="00DB338D" w14:paraId="130D7509" w14:textId="77777777" w:rsidTr="00DB338D">
        <w:trPr>
          <w:trHeight w:val="5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2CE1F5B"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8</w:t>
            </w:r>
          </w:p>
        </w:tc>
        <w:tc>
          <w:tcPr>
            <w:tcW w:w="1200" w:type="dxa"/>
            <w:tcBorders>
              <w:top w:val="nil"/>
              <w:left w:val="nil"/>
              <w:bottom w:val="single" w:sz="4" w:space="0" w:color="auto"/>
              <w:right w:val="single" w:sz="4" w:space="0" w:color="auto"/>
            </w:tcBorders>
            <w:shd w:val="clear" w:color="auto" w:fill="auto"/>
            <w:noWrap/>
            <w:vAlign w:val="center"/>
            <w:hideMark/>
          </w:tcPr>
          <w:p w14:paraId="5895B748"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proofErr w:type="spellStart"/>
            <w:r w:rsidRPr="00DB338D">
              <w:rPr>
                <w:rFonts w:ascii="Marianne" w:eastAsia="Times New Roman" w:hAnsi="Marianne" w:cs="Calibri"/>
                <w:kern w:val="0"/>
                <w:sz w:val="16"/>
                <w:szCs w:val="16"/>
                <w:lang w:eastAsia="fr-FR"/>
                <w14:ligatures w14:val="none"/>
              </w:rPr>
              <w:t>Challancin</w:t>
            </w:r>
            <w:proofErr w:type="spellEnd"/>
          </w:p>
        </w:tc>
        <w:tc>
          <w:tcPr>
            <w:tcW w:w="6360" w:type="dxa"/>
            <w:tcBorders>
              <w:top w:val="nil"/>
              <w:left w:val="nil"/>
              <w:bottom w:val="single" w:sz="4" w:space="0" w:color="auto"/>
              <w:right w:val="single" w:sz="4" w:space="0" w:color="auto"/>
            </w:tcBorders>
            <w:shd w:val="clear" w:color="auto" w:fill="auto"/>
            <w:noWrap/>
            <w:vAlign w:val="center"/>
            <w:hideMark/>
          </w:tcPr>
          <w:p w14:paraId="02A51B1A"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9 (ex lot 8)</w:t>
            </w:r>
          </w:p>
        </w:tc>
      </w:tr>
      <w:tr w:rsidR="00DB338D" w:rsidRPr="00DB338D" w14:paraId="6CFA5060" w14:textId="77777777" w:rsidTr="00DB338D">
        <w:trPr>
          <w:trHeight w:val="5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64FA3C8"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9</w:t>
            </w:r>
          </w:p>
        </w:tc>
        <w:tc>
          <w:tcPr>
            <w:tcW w:w="1200" w:type="dxa"/>
            <w:tcBorders>
              <w:top w:val="nil"/>
              <w:left w:val="nil"/>
              <w:bottom w:val="single" w:sz="4" w:space="0" w:color="auto"/>
              <w:right w:val="single" w:sz="4" w:space="0" w:color="auto"/>
            </w:tcBorders>
            <w:shd w:val="clear" w:color="auto" w:fill="auto"/>
            <w:noWrap/>
            <w:vAlign w:val="center"/>
            <w:hideMark/>
          </w:tcPr>
          <w:p w14:paraId="384ADB0A"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Samsic</w:t>
            </w:r>
          </w:p>
        </w:tc>
        <w:tc>
          <w:tcPr>
            <w:tcW w:w="6360" w:type="dxa"/>
            <w:tcBorders>
              <w:top w:val="nil"/>
              <w:left w:val="nil"/>
              <w:bottom w:val="single" w:sz="4" w:space="0" w:color="auto"/>
              <w:right w:val="single" w:sz="4" w:space="0" w:color="auto"/>
            </w:tcBorders>
            <w:shd w:val="clear" w:color="auto" w:fill="auto"/>
            <w:noWrap/>
            <w:vAlign w:val="center"/>
            <w:hideMark/>
          </w:tcPr>
          <w:p w14:paraId="2AC1EEFE"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12 (ex lots 9 et 10 et 1 seul lot pour tout le département)</w:t>
            </w:r>
          </w:p>
        </w:tc>
      </w:tr>
      <w:tr w:rsidR="00DB338D" w:rsidRPr="00DB338D" w14:paraId="2F97C5E3" w14:textId="77777777" w:rsidTr="00DB338D">
        <w:trPr>
          <w:trHeight w:val="5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9EA655D"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10</w:t>
            </w:r>
          </w:p>
        </w:tc>
        <w:tc>
          <w:tcPr>
            <w:tcW w:w="1200" w:type="dxa"/>
            <w:tcBorders>
              <w:top w:val="nil"/>
              <w:left w:val="nil"/>
              <w:bottom w:val="single" w:sz="4" w:space="0" w:color="auto"/>
              <w:right w:val="single" w:sz="4" w:space="0" w:color="auto"/>
            </w:tcBorders>
            <w:shd w:val="clear" w:color="auto" w:fill="auto"/>
            <w:noWrap/>
            <w:vAlign w:val="center"/>
            <w:hideMark/>
          </w:tcPr>
          <w:p w14:paraId="103F8F9B"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Onet</w:t>
            </w:r>
          </w:p>
        </w:tc>
        <w:tc>
          <w:tcPr>
            <w:tcW w:w="6360" w:type="dxa"/>
            <w:tcBorders>
              <w:top w:val="nil"/>
              <w:left w:val="nil"/>
              <w:bottom w:val="single" w:sz="4" w:space="0" w:color="auto"/>
              <w:right w:val="single" w:sz="4" w:space="0" w:color="auto"/>
            </w:tcBorders>
            <w:shd w:val="clear" w:color="auto" w:fill="auto"/>
            <w:noWrap/>
            <w:vAlign w:val="center"/>
            <w:hideMark/>
          </w:tcPr>
          <w:p w14:paraId="7174F995"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 </w:t>
            </w:r>
          </w:p>
        </w:tc>
      </w:tr>
      <w:tr w:rsidR="00DB338D" w:rsidRPr="00DB338D" w14:paraId="2CC67D53" w14:textId="77777777" w:rsidTr="00DB338D">
        <w:trPr>
          <w:trHeight w:val="5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C8F5993"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11</w:t>
            </w:r>
          </w:p>
        </w:tc>
        <w:tc>
          <w:tcPr>
            <w:tcW w:w="1200" w:type="dxa"/>
            <w:tcBorders>
              <w:top w:val="nil"/>
              <w:left w:val="nil"/>
              <w:bottom w:val="single" w:sz="4" w:space="0" w:color="auto"/>
              <w:right w:val="single" w:sz="4" w:space="0" w:color="auto"/>
            </w:tcBorders>
            <w:shd w:val="clear" w:color="auto" w:fill="auto"/>
            <w:noWrap/>
            <w:vAlign w:val="center"/>
            <w:hideMark/>
          </w:tcPr>
          <w:p w14:paraId="526C3A83"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Aber</w:t>
            </w:r>
          </w:p>
        </w:tc>
        <w:tc>
          <w:tcPr>
            <w:tcW w:w="6360" w:type="dxa"/>
            <w:tcBorders>
              <w:top w:val="nil"/>
              <w:left w:val="nil"/>
              <w:bottom w:val="single" w:sz="4" w:space="0" w:color="auto"/>
              <w:right w:val="single" w:sz="4" w:space="0" w:color="auto"/>
            </w:tcBorders>
            <w:shd w:val="clear" w:color="auto" w:fill="auto"/>
            <w:noWrap/>
            <w:vAlign w:val="center"/>
            <w:hideMark/>
          </w:tcPr>
          <w:p w14:paraId="1D0D92D3"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11 (ex lots 11 et 12 et 1 seul lot pour tout le département)</w:t>
            </w:r>
          </w:p>
        </w:tc>
      </w:tr>
      <w:tr w:rsidR="00DB338D" w:rsidRPr="00DB338D" w14:paraId="224B7D1B" w14:textId="77777777" w:rsidTr="00DB338D">
        <w:trPr>
          <w:trHeight w:val="50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5C2965E"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12</w:t>
            </w:r>
          </w:p>
        </w:tc>
        <w:tc>
          <w:tcPr>
            <w:tcW w:w="1200" w:type="dxa"/>
            <w:tcBorders>
              <w:top w:val="nil"/>
              <w:left w:val="nil"/>
              <w:bottom w:val="single" w:sz="4" w:space="0" w:color="auto"/>
              <w:right w:val="single" w:sz="4" w:space="0" w:color="auto"/>
            </w:tcBorders>
            <w:shd w:val="clear" w:color="auto" w:fill="auto"/>
            <w:noWrap/>
            <w:vAlign w:val="center"/>
            <w:hideMark/>
          </w:tcPr>
          <w:p w14:paraId="250F7D5A"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Onet</w:t>
            </w:r>
          </w:p>
        </w:tc>
        <w:tc>
          <w:tcPr>
            <w:tcW w:w="6360" w:type="dxa"/>
            <w:tcBorders>
              <w:top w:val="nil"/>
              <w:left w:val="nil"/>
              <w:bottom w:val="single" w:sz="4" w:space="0" w:color="auto"/>
              <w:right w:val="single" w:sz="4" w:space="0" w:color="auto"/>
            </w:tcBorders>
            <w:shd w:val="clear" w:color="auto" w:fill="auto"/>
            <w:noWrap/>
            <w:vAlign w:val="center"/>
            <w:hideMark/>
          </w:tcPr>
          <w:p w14:paraId="5E489A12"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 </w:t>
            </w:r>
          </w:p>
        </w:tc>
      </w:tr>
      <w:tr w:rsidR="00DB338D" w:rsidRPr="00DB338D" w14:paraId="23C1359E" w14:textId="77777777" w:rsidTr="00DB338D">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450B431C"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13</w:t>
            </w:r>
          </w:p>
        </w:tc>
        <w:tc>
          <w:tcPr>
            <w:tcW w:w="1200" w:type="dxa"/>
            <w:tcBorders>
              <w:top w:val="nil"/>
              <w:left w:val="nil"/>
              <w:bottom w:val="single" w:sz="4" w:space="0" w:color="auto"/>
              <w:right w:val="single" w:sz="4" w:space="0" w:color="auto"/>
            </w:tcBorders>
            <w:shd w:val="clear" w:color="auto" w:fill="auto"/>
            <w:noWrap/>
            <w:vAlign w:val="center"/>
            <w:hideMark/>
          </w:tcPr>
          <w:p w14:paraId="5C1A5BE4"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Aber</w:t>
            </w:r>
          </w:p>
        </w:tc>
        <w:tc>
          <w:tcPr>
            <w:tcW w:w="6360" w:type="dxa"/>
            <w:tcBorders>
              <w:top w:val="nil"/>
              <w:left w:val="nil"/>
              <w:bottom w:val="single" w:sz="4" w:space="0" w:color="auto"/>
              <w:right w:val="single" w:sz="4" w:space="0" w:color="auto"/>
            </w:tcBorders>
            <w:shd w:val="clear" w:color="auto" w:fill="auto"/>
            <w:noWrap/>
            <w:vAlign w:val="center"/>
            <w:hideMark/>
          </w:tcPr>
          <w:p w14:paraId="7A44280B"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10 (ex lots 13 et 14 et 1 seul lot pour tout le département)</w:t>
            </w:r>
          </w:p>
        </w:tc>
      </w:tr>
      <w:tr w:rsidR="00DB338D" w:rsidRPr="00DB338D" w14:paraId="494D7545" w14:textId="77777777" w:rsidTr="00DB338D">
        <w:trPr>
          <w:trHeight w:val="125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4632BF8C"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LOT 14</w:t>
            </w:r>
          </w:p>
        </w:tc>
        <w:tc>
          <w:tcPr>
            <w:tcW w:w="1200" w:type="dxa"/>
            <w:tcBorders>
              <w:top w:val="nil"/>
              <w:left w:val="nil"/>
              <w:bottom w:val="single" w:sz="4" w:space="0" w:color="auto"/>
              <w:right w:val="single" w:sz="4" w:space="0" w:color="auto"/>
            </w:tcBorders>
            <w:shd w:val="clear" w:color="auto" w:fill="auto"/>
            <w:noWrap/>
            <w:vAlign w:val="center"/>
            <w:hideMark/>
          </w:tcPr>
          <w:p w14:paraId="23EB2CD6"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Aber</w:t>
            </w:r>
          </w:p>
        </w:tc>
        <w:tc>
          <w:tcPr>
            <w:tcW w:w="6360" w:type="dxa"/>
            <w:tcBorders>
              <w:top w:val="nil"/>
              <w:left w:val="nil"/>
              <w:bottom w:val="single" w:sz="4" w:space="0" w:color="auto"/>
              <w:right w:val="single" w:sz="4" w:space="0" w:color="auto"/>
            </w:tcBorders>
            <w:shd w:val="clear" w:color="auto" w:fill="auto"/>
            <w:noWrap/>
            <w:vAlign w:val="center"/>
            <w:hideMark/>
          </w:tcPr>
          <w:p w14:paraId="1023D274" w14:textId="77777777" w:rsidR="00DB338D" w:rsidRPr="00DB338D" w:rsidRDefault="00DB338D" w:rsidP="00DB338D">
            <w:pPr>
              <w:spacing w:after="0" w:line="240" w:lineRule="auto"/>
              <w:jc w:val="center"/>
              <w:rPr>
                <w:rFonts w:ascii="Marianne" w:eastAsia="Times New Roman" w:hAnsi="Marianne" w:cs="Calibri"/>
                <w:kern w:val="0"/>
                <w:sz w:val="16"/>
                <w:szCs w:val="16"/>
                <w:lang w:eastAsia="fr-FR"/>
                <w14:ligatures w14:val="none"/>
              </w:rPr>
            </w:pPr>
            <w:r w:rsidRPr="00DB338D">
              <w:rPr>
                <w:rFonts w:ascii="Marianne" w:eastAsia="Times New Roman" w:hAnsi="Marianne" w:cs="Calibri"/>
                <w:kern w:val="0"/>
                <w:sz w:val="16"/>
                <w:szCs w:val="16"/>
                <w:lang w:eastAsia="fr-FR"/>
                <w14:ligatures w14:val="none"/>
              </w:rPr>
              <w:t> </w:t>
            </w:r>
          </w:p>
        </w:tc>
      </w:tr>
    </w:tbl>
    <w:p w14:paraId="29F3D6F4" w14:textId="77777777" w:rsidR="00DB338D" w:rsidRDefault="00DB338D"/>
    <w:p w14:paraId="5ED2F550" w14:textId="77777777" w:rsidR="00994F4F" w:rsidRDefault="00994F4F"/>
    <w:sectPr w:rsidR="00994F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roman"/>
    <w:pitch w:val="default"/>
  </w:font>
  <w:font w:name="Aptos Display">
    <w:altName w:val="Calibri"/>
    <w:charset w:val="00"/>
    <w:family w:val="roman"/>
    <w:pitch w:val="default"/>
  </w:font>
  <w:font w:name="Marianne">
    <w:panose1 w:val="02000000000000000000"/>
    <w:charset w:val="00"/>
    <w:family w:val="roman"/>
    <w:notTrueType/>
    <w:pitch w:val="default"/>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F6774F"/>
    <w:multiLevelType w:val="multilevel"/>
    <w:tmpl w:val="D0D6486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num w:numId="1" w16cid:durableId="197552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F4F"/>
    <w:rsid w:val="0086179E"/>
    <w:rsid w:val="00994F4F"/>
    <w:rsid w:val="00A314EF"/>
    <w:rsid w:val="00A620AB"/>
    <w:rsid w:val="00D17CF7"/>
    <w:rsid w:val="00DB338D"/>
    <w:rsid w:val="00F109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D392B"/>
  <w15:chartTrackingRefBased/>
  <w15:docId w15:val="{1FEE01E6-E42D-4EAE-B46B-D191C11BE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994F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94F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94F4F"/>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94F4F"/>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94F4F"/>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94F4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94F4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94F4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94F4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94F4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94F4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94F4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94F4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94F4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94F4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94F4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94F4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94F4F"/>
    <w:rPr>
      <w:rFonts w:eastAsiaTheme="majorEastAsia" w:cstheme="majorBidi"/>
      <w:color w:val="272727" w:themeColor="text1" w:themeTint="D8"/>
    </w:rPr>
  </w:style>
  <w:style w:type="paragraph" w:styleId="Titre">
    <w:name w:val="Title"/>
    <w:basedOn w:val="Normal"/>
    <w:next w:val="Normal"/>
    <w:link w:val="TitreCar"/>
    <w:uiPriority w:val="10"/>
    <w:qFormat/>
    <w:rsid w:val="00994F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94F4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94F4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94F4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94F4F"/>
    <w:pPr>
      <w:spacing w:before="160"/>
      <w:jc w:val="center"/>
    </w:pPr>
    <w:rPr>
      <w:i/>
      <w:iCs/>
      <w:color w:val="404040" w:themeColor="text1" w:themeTint="BF"/>
    </w:rPr>
  </w:style>
  <w:style w:type="character" w:customStyle="1" w:styleId="CitationCar">
    <w:name w:val="Citation Car"/>
    <w:basedOn w:val="Policepardfaut"/>
    <w:link w:val="Citation"/>
    <w:uiPriority w:val="29"/>
    <w:rsid w:val="00994F4F"/>
    <w:rPr>
      <w:i/>
      <w:iCs/>
      <w:color w:val="404040" w:themeColor="text1" w:themeTint="BF"/>
    </w:rPr>
  </w:style>
  <w:style w:type="paragraph" w:styleId="Paragraphedeliste">
    <w:name w:val="List Paragraph"/>
    <w:basedOn w:val="Normal"/>
    <w:uiPriority w:val="34"/>
    <w:qFormat/>
    <w:rsid w:val="00994F4F"/>
    <w:pPr>
      <w:ind w:left="720"/>
      <w:contextualSpacing/>
    </w:pPr>
  </w:style>
  <w:style w:type="character" w:styleId="Accentuationintense">
    <w:name w:val="Intense Emphasis"/>
    <w:basedOn w:val="Policepardfaut"/>
    <w:uiPriority w:val="21"/>
    <w:qFormat/>
    <w:rsid w:val="00994F4F"/>
    <w:rPr>
      <w:i/>
      <w:iCs/>
      <w:color w:val="0F4761" w:themeColor="accent1" w:themeShade="BF"/>
    </w:rPr>
  </w:style>
  <w:style w:type="paragraph" w:styleId="Citationintense">
    <w:name w:val="Intense Quote"/>
    <w:basedOn w:val="Normal"/>
    <w:next w:val="Normal"/>
    <w:link w:val="CitationintenseCar"/>
    <w:uiPriority w:val="30"/>
    <w:qFormat/>
    <w:rsid w:val="00994F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94F4F"/>
    <w:rPr>
      <w:i/>
      <w:iCs/>
      <w:color w:val="0F4761" w:themeColor="accent1" w:themeShade="BF"/>
    </w:rPr>
  </w:style>
  <w:style w:type="character" w:styleId="Rfrenceintense">
    <w:name w:val="Intense Reference"/>
    <w:basedOn w:val="Policepardfaut"/>
    <w:uiPriority w:val="32"/>
    <w:qFormat/>
    <w:rsid w:val="00994F4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84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448</Words>
  <Characters>2466</Characters>
  <Application>Microsoft Office Word</Application>
  <DocSecurity>0</DocSecurity>
  <Lines>20</Lines>
  <Paragraphs>5</Paragraphs>
  <ScaleCrop>false</ScaleCrop>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SAKHER Christelle</dc:creator>
  <cp:keywords/>
  <dc:description/>
  <cp:lastModifiedBy>SAKHER Christelle</cp:lastModifiedBy>
  <cp:revision>2</cp:revision>
  <dcterms:created xsi:type="dcterms:W3CDTF">2026-05-21T12:05:00Z</dcterms:created>
  <dcterms:modified xsi:type="dcterms:W3CDTF">2026-07-01T12:25:00Z</dcterms:modified>
</cp:coreProperties>
</file>